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129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McKeon, 41; Hardin, 48; Lippincott, 34; Lonowski, 33.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political subdivisions;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13-407, Revised Statutes Cumulative Supplement, 2024; to define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term; to prohibit restrictions on the provision of certain energy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13-407,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13-407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energy source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fuel or power source used to power an engine, including aviation fuel,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biofuel, compressed or liquified natural gas, diesel fuel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renewable diesel and biodiesel blended fuel, electricity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charging electric vehicles, gasoline including ethanol blended gasoline,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gas distillates, hydrogen, and liquified petroleum gas.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county, city, village, or other political subdivision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shall enact or implement any ordinance, code, resolution,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or policy that restricts, prohibits, or has the effect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restricting or prohibiting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energy 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types or fuel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may be used, delivered, converted, or supplied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entities to serve customers that such entities are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serve: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natural gas utility;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 natural gas transmission company;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retail marketer or dispenser of propane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retail marketer of any other energy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does not apply to ordinances, codes, resolutions,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rules, regulations, or policies: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Governing a natural gas utility owned or operated and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a city or village;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Regulating a retail marketer or dispenser of propane.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13-407,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