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 25-228,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the statute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limitations on certain civil actions for sexual assault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25-228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State Tort Claims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Political Subdivisions Tort Claims Act, there shall not be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limitation for an action against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 other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shall not be any time limitation for an action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or individuals directly causing an injury or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suffered by a plaintiff when the plaintiff was a victim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 or 28-320.01 if such violation occurred (i)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24, 2017, or (ii) prior to August 24, 2017, if such action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previously time barred;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action against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or entity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directly causing an injury or injuries suffered by a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plaintiff was a victim of a violation of section 28-319.01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violation occurred (i) on or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or (ii) prior to the effective date of this act,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was not previously time barred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only be brought within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after the plaintiff's twenty-first birthday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Criminal prosecution of a defendant under section 28-319.01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 is not required to maintain a civil action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25-228,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