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130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Dungan, 26.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13,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Appropriations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General Fund net receipts;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77-4602, Revised Statutes Cumulative Supplement, 2024; to 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relating to certain transfers of General Fund net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receipts; to repeal the original section; and to declare an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77-4602,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77-4602 (1) Within fifteen days after the end of each month,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shall provide a public statement of actual General Fund net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receipts, a comparison of such actual net receipts to the monthly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estimated net receipts from the most recent forecast provided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Economic Forecasting Advisory Board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77-27,158, and a comparison of such actual net receipts to the monthly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actual net receipts for the same month of the previous fiscal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Within fifteen days after the end of each fiscal year,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statement shall also include (a) a summary of actual General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net receipts and estimated General Fund net receipts for the fiscal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certified pursuant to sections 77-4601 and 77-4603 and (b)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comparison of the actual General Fund net receipts for the fiscal year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actual General Fund net receipts for the previous fiscal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 Within fifteen days after the end of each fiscal year,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Tax Commissioner shall determine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Actual General Fund net receipts for the most recently completed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fiscal year minus estimated General Fund net receipts for such fiscal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 as certified pursuant to sections 77-4601 and 77-4603;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Fifty percent of the product of actual General Fund net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receipts for the most recently completed fiscal year times the difference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between the annual percentage increase in the actual General Fund net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receipts for the most recently completed fiscal year and the average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annual percentage increase in the actual General Fund net receipts over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twenty previous fiscal years, excluding the year in which the annual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percentage change in actual General Fund net receipts is the lowest.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If the number determined under subdivision (3)(a)(i)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is a positive number, the Tax Commissioner shall immediately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certify the greater of the two numbers determined under subdivision (3)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of this section to the Director of Administrative Services. The State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Treasurer shall transfer the certified amount from the General Fund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Cash Reserve Fund upon certification by the director of such amount.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transfer shall be made according to the following schedule: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An amount equal to the amount determined under subdivision (3)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(a)(i) of this section shall be transferred immediately;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remainder, if any, shall be transferred by the end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subsequent fiscal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If the transfer required under subdivision (3)(b)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causes the balance in the Cash Reserve Fund to exceed sixteen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percent of the total budgeted General Fund expenditures, excluding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reappropriated amounts or encumbrances, for the current fiscal year,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transfer shall be reduced so that the balance of the Cash Reserve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does not exceed such amount.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Nothing in this subsection prohibits the balance in the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Reserve Fund from exceeding sixteen percent of the total budgeted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 expenditures, excluding any reappropriated amounts or encumbrances,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each fiscal year if the Legislature determines it necessary to prepare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and respond to budgetary requirements which may include, but are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limited to, capital construction projects and responses to emergencies.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(3)(a) Within fifteen days after the end of each fiscal year,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Tax Commissioner shall determine actual General Fund net receipts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most recently completed fiscal year minus estimated General Fund net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receipts for such fiscal year as certified pursuant to sections 77-4601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77-4603.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If actual General Fund net receipts for the most recently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completed fiscal year exceed estimated General Fund net receipts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fiscal year, the Tax Commissioner shall certify the excess amount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 Treasurer. The State Treasurer shall transfer the excess amount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Cash Reserve Fund, except as otherwise provided in subdivision (3)(c)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If actual General Fund net receipts for the most recently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completed fiscal year exceed one hundred three percent of actual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Fund net receipts for the previous fiscal year, the transfer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subdivision (3)(b) of this section shall be modified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 The amount transferred to the Cash Reserve Fund shall be reduced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by the excess amount calculated under subdivision (3)(c) of this section;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(ii) Such excess amount shall be transferred to the School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Property Tax Relief Credit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77-4602,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88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