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federal Child Care Subsidy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68-1206,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the Department of Health and Human Services to file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plan amendment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and provide child care assistance to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incomes up to (i) one hundred eighty-five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prior to October 1, 2026, or (ii) one hundred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federal poverty level on and after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on and after October 1, 2026,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on and after October 1, 2026.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period beginning July 1, 2021, through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funds provided to the State of Nebraska pursuant 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Block Grant Act of 1990, 42 U.S.C. 9857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existed on January 1, 2023, shall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the state resulting from the income eligibility changes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and (b) of this section by Laws 2021, LB485.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amount of such funds is insufficient to pay such costs,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to the state for the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 established in 42 U.S.C. 601 et seq. may also be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General Funds shall be used to pay the costs to the 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costs, resulting from the income eligibility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(2)(a) and (b) of this section by Laws 2021, LB485,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beginning July 1, 2021, through September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to that provider's private clients.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plan amendment for services to pay providers based on a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enrollment or authorized hours and not a child's attendance.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separate rates for care for infants, for children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needs, including disabilities or technological dependence,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individual categories of children. The schedule may also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tiered rates based upon a quality scale rating of step three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Step Up to Quality Child Care Act. The schedule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on October 1 of every year and shall be revised annually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