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require a health carrier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pharmacy benefit manager to include amounts paid by a health benefit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enrollee or paid on behalf of an enrollee by another person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calculating the enrollee's overall contribution to any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out-of-pocket maximum or cost-sharing requirement under a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plan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Cost-sharing requirement means any copayment, deductible,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limitation on cost sharing, required by or on behalf of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plan enrollee in order to receive a specific health care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prescription drug covered by a health plan, whether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medical or pharmacy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Health benefit plan means a policy, contract, certificate,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subscriber agreement entered into, offered, or issued by a health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provide, deliver, arrange for, pay for, or reimburse any of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health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Health carrier has the same meaning as in section 44-1303;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Person means a natural person, corporation, mutual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unincorporated association, partnership, joint venture,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trust, estate, foundation, nonprofit corporation, unincorporated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organization, or government or governmental subdivision or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Pharmacy benefit manager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44-4603.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Except as provided in subdivision (b) of this subsection,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health benefit plan entered into, amended, extended, or renewed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January 1, 2026, a health carrier or pharmacy benefit manager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any amount paid by a health benefit plan enrollee or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an enrollee by another person for purposes of calculating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enrollee's overall contribution to any out-of-pocket maximum or cost-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sharing requirement under a health benefit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requirement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would result in the ineligibility of a health savings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223 of the Internal Revenue Code, such requirement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savings account shall only apply after the enrollee has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minimum deductible under section 223 of the Internal Revenue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that for items or services that are preventive care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223(c)(2)(C) of the Internal Revenue Code, such requirement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regardless of whether the minimum deductible under section 223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Internal Revenue Code has been satisfied.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