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Broadband Bridge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86-1304, Reissue Revised Statutes of Nebraska;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resolutions of project support from political subdivisions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86-1304 (1)(a) A provider, a cooperative, a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Indian tribe may apply to the commission for a grant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commission. The grant shall only be used for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for a qualifying project. The application shall indicate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area. The applicant shall provide matching funds equal to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development costs of the project if located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high-cost area, or twenty-five percent of the total development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if located inside a high-cost area, as such areas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commission. The matching funds requirement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not apply to any portion of a grant comprised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funds. In order to qualify, the project is required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Internet service scalable to one hundred megabits per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downloading and one hundred megabits per second for uploading,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greater. The commission shall establish deadlines for applications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notice of the deadlines on the commission's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application from a political subdivision or an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as part of a public-private partnership with a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As part of the application, the applicant shall agree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the project within eighteen months after the date the grant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awarded. The commission may permit extensions upon request and for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grant recipient fails to complete the project by the agreed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extended deadline, as the case may be, the recipient shall repay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as provided in this subdivision. If no extension is permitted,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grant shall be repaid for each month that the project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complete after the eighteen-month period, up to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grant. If an extension is permitted, twenty percent of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repaid for each month that the project is not complete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period, up to one hundred percent of the grant.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As part of the application, the applicant shall agree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the broadband network completed as a result of the grant to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as determined by the commission. The grant recipient shall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speed tests and submit the results to the commission. The speed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for one week using a random sample of locations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consumers who subscribe to the network completed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broadband network does not provide service at the speeds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subdivision (1)(a) of this section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tests under subdivision (3)(a) of this section, the grant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a reasonable time to address the speed deficiencies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second set of speed tests as described in subdivision (3)(a)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If the broadband network does not provide service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speeds required pursuant to subdivision (1)(a) of this section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second set of speed tests, the grant recipient shall repay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As part of the application, the applicant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of project support adopted by each county, city, and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proposed project will be located. The resolution of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shall include, at a minimum,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map of the proposed project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Acknowledgement that the applicant will be applying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permits;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proposed timeline for the proposed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applicant shall be eligible to receive a grant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uses or provides any communications equipment or service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pose a threat to national security identified on the Covered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pursuant to 47 C.F.R. 1.50002, as such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and published by the Public Safety and Homeland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the Federal Communications Commission pursuant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and Trusted Communications Networks Act of 2019, 47 U.S.C. 1601 et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seq., as such act existed on January 1, 2023, and the rules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 by the Federal Communications Commission on November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 2022, in its Report and Order FCC 22-84.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86-1304,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