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actions; to amend sections 25-3301,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25-3302, and 25-3309,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statute of limitations for actions for personal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applicability; to include administrative proceedings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Nonrecourse Civil Litigation Act, require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disclosures by consumers, and provide for discipline against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registration; to provide a duty for the Revisor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action for personal injury can only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shall only apply to causes of action accruing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25-3301,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25-3301 Sections 25-3301 to 25-3309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Nonrecourse Civil Litigation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25-3302,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25-3302 For purposes of the Nonrecourse Civil Litigation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Civil litigation funding company means a person or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enters into a nonrecourse civil litigation funding transaction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Consumer means a person residing or domiciled in Nebraska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elects to enter into a transaction under the act, whether it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over the Internet, by facsimile, or by any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and who has a pending legal claim and is represented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at the time he or she receives the nonrecourse civil litigation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Legal claim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civil claim or action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presented in an administrative proceeding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Nonrecourse civil litigation funding means a transaction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civil litigation funding company purchases and a consumer assigns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contingent right to receive an amount of the potential proceeds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consumer's legal claim to the civil litigation funding company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proceeds of any realized settlement, judgment, award, or verdict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may receive in the legal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stipulated or ordered by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jurisdiction, a consumer or the consumer's attorney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awaiting a discovery request, disclose and deliver a copy of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for nonrecourse civil litigation funding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Each party to the legal claim or each party's attorney;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court, agency, or tribunal in which the legal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known person, including an insurer, with a preexisting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contractual obligation to indemnify or defend a party to the legal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disclosure obligation under subdivision (1)(c)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exists regardless of whether a civil action or an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has commenced.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disclosure obligation under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 continuing obligation. Within thirty days after entering into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for nonrecourse civil litigation funding or amending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the consumer or the consumer's attorney shall disclose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 any new or amended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existence of a contract for nonrecourse civil litigation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and all participants or parties to such contract are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subjects of discovery in any legal claim for which litigation funding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25-3309,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25-3309 (1) The Secretary of State shall issue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to a civil litigation funding company who complies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25-3307 or a renewal of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25-3307.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Secretary of State may refuse to issue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if the Secretary of State determines that the character,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fitness, or financial responsibility of the civil litigation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are such as to warrant belief that the business will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honestly or fairly within the purposes of the Nonrecourse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Litigation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Secretary of State may suspend, revoke, or refuse to renew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of registration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conduct that would have justified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registration under subsection (2) of section 25-3307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violating section 25-3304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(c) for knowingly violating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Secretary of State may deny, suspend, revoke, or refuse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 a certificate of registration only after proper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for a hearing. The Administrative Procedure Act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Nonrecourse Civil Litigation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Secretary of State may issue a temporary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while an application for registration or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is pending.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Secretary of State shall require a civil litigation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registered pursuant to the act to annually submit certain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form prescribed by the Secretary of State that contains: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nonrecourse civil litigation fundings;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nonrecourse civil litigation fundings;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nonrecourse civil litigation fundings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repaid by the consumer;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charged to the consumer,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annual percentage fee charged to the consumer and the itemized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charged to the consumer;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dollar amount and number of cases in which the realization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civil litigation funding company was less than contracted.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Secretary of State shall annually prepare and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to the Clerk of the Legislature and to the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the status of nonrecourse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litigation funding activities in the state. The report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information reported by registered civil litigation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Revisor of Statutes shall assign section 1 of this 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Chapter 25, article 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25-3301, 25-3302, and 25-3309,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