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207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von Gillern, 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motor vehicles; to amend section 60-3,191,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2024; to provide a fee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commercially registered alternative fuel vehicles;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60-3,191,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60-3,191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addition to any other fee required under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Registration Act, a fee for registration of each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powered by an alternative fuel shall be charged. The fee shall be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hundred fifty dollars, except that 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motorcycle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plug-in hybrid electric vehicle,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fee shall 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seventy-five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any commercially registered alternative fuel vehicle having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gross weight of more than seven thousand five hundred pounds,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times the applicable fee for other motor vehicles powered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alternative fuel as described in subdivision (1)(c) of this 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For any other motor vehicle powered by an alternative fuel,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fifty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fee shall be collected by the county treasurer and remitted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State Treasurer for credit to the Highway Trust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60-3,191,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6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