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amend section 50-1301,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state legislative findings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unfilled gubernatorial appointments;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50-1301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finds that state government actions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an increase in the numbers of boards, commissions, and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that support, advise, direct, or administer various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The process has evolved without sufficient legislative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oversight and without a system of checks and balances.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is responsible for the expenditure of public money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shaping of the administration of state government and is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accountable for fiscal policy, the Legislature should also be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termination, continuation, or modification of such boards,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commissions, and similar entities so that it may be assured that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 have been faithfully carried out.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further finds that boards, commissions,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entities cannot function as intended when vacancies on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or similar entity are left unfilled. Membership on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 is often required by statute to be appointed by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 or the Legislature. In the case of a gubernatorial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seat that has been vacant for six months or more,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jurisdiction may take applications for the seat and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 to the Governor for possible appointment. If the seat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remains vacant for another three months after the date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forwarded to the Governor,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may make the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50-1301,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