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notice provisions relating to the division of taxes;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August 1, 2006,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notices of the provision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ad valorem taxes shall be sent by the authority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forms prescribed by the Property Tax Administrator.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shall be sent to the county assessor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the effective date of the provision. Failure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requirement of this section shall result in the taxes,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affected by the failure to give notice of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provision, remaining undivided and being paid into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public body receiving property taxes generated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project. However, the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remaining division of ad valorem taxes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subdivisions (1)(a) and (b) of this section shall be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valuation for the taxable year prior to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to divide the taxes for the remaining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twenty-year or fifteen-year period pursuant to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18-2147,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