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legislative intent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transfer funds for workforce housing;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to transfer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million dollars from the General Fund for fiscal year 2025-26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Workforce Housing Investment Fund and twenty-five million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General Fund for fiscal year 2026-27 to the Rural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Housing Investment Fund to provide workforce housing grants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Workforce Housing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