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298A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19,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section 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261, One Hundred Ninth Legislature, First Session,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appropriate funds to aid in carrying out the provisions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298, One Hundred Ninth Legislature, First Session,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an appropriation; to repeal the original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LB298A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LB298A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hereby appropriated (1) $680,000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 for FY2025-26 and (2) $680,000 from the General Fund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 to the Legislative Council, for Program 129, to aid in carrying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Bill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298,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First Session, 2025.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expenditures for permanent and temporary salaries and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diems from funds appropriated in this section shall not exceed $590,500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FY2025-26 or $615,700 for FY2026-27.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 21, Legislative Bill 261, One Hundred 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Legislature, First Session, 2025,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3 — LEGISLATIVE COUNCIL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504 - Office of Public Counsel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700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1,522,116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1,522,116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2,202,116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2,202,116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1,522,116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1,522,116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2,202,116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2,202,116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1,403,997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1,454,309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1,994,497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2,070,009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unexpended General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30, 2025, is hereby 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21, Legislative Bill 261, One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Ninth Legislature, First Session, 2025, is repealed.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28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