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Ballard, 21; Bosn, 25; Holdcroft, 36; Kauth,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31; Lonowski, 33; McKeon, 41;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property taxes; to 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increases in property tax bills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Allowable growth percentage means the 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inflation rate;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Three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Inflation rate means the percentage change in the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Index for All Urban Consumers, as prepared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Labor, Bureau of Labor Statistics, for the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ending on August 31 of the year in which the property tax bill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Property tax bill means the amount of property taxes due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parcel of real property as shown on the property tax statement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property tax bill for any parcel of real property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the prior year's property tax bill by more than the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shall not apply if the increase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 is due to improvements made to the relevant parcel of real property.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