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425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Ballard, 21; Bosn, 25; Clouse, 37; Holdcroft,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36; Kauth, 31; Lonowski, 33; McKeon, 41; Rountree, 3;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homestead exemptions for certain disabled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and surviving spouses as prescribed;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 (1) All homesteads in this state shall be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the same as other property, except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exempt from taxation, on any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(2)(a), (b), (c), (d), (e), or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one hundred percent of the exempt amount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There shall be exempt from taxation, on any homestead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(2)(g) of this section, a percentage of the exempt amount.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percentage of the exempt amount shall be equal to the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 of the veteran of the homestead.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exemption described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homesteads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one hundred percent service-connected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and who is not eligible for total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77-3526 to 77-3528;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unremarried surviving spouse of a veteran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or a surviving spouse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who 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one hundred percent service-connected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and who is not eligible for total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77-3526 to 77-3528, an unremarried spouse of such a veteran,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of such a veteran who remarries after attaining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unremarried surviving spouse of any veteran, including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other than a veteran described in section 80-401.01,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 and who died because of a service-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disability or a surviving spouse of such a veteran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unremarried surviving spouse of a serviceman or servicewoman,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veteran other than a veteran described in section 80-401.01,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death while on active duty was service-connected or a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such a serviceman or servicewoman who remarries after attaining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age of fifty-seven years;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 unremarried surviving spouse of a serviceman or servicewoman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died while on active duty during the periods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 or a surviving spouse of such a serviceman or servicewoman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Beginning January 1, 2026, a veteran who was discharged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separated with a characterization of honorable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(under honorable conditions), who is drawing compensation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Department of Veterans Affairs because the veteran is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 percent disabled but less than one hundred percent disabled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service-connected disability, and who is not eligible for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under sections 77-3526 to 77-3528, an unremarried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spouse of such a veteran, or a surviving spouse of such a veteran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remarries after attaining the age of fifty-seven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 for exemption under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required in every subsequent year evenly divisible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and shall include certification of the status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Affairs. Application for exemption under subdivision (2)(b),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(c), (d), (e),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(f)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required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 certification of the status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(2)(b), (c), (d), (e),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(f)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from the United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Veterans Affairs, except that such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shall only be required in every subsequent year evenly divisible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77-3506,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