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442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 care; to establish a state child care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subsidy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 a program of social services in this state.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with other social agencies for the purchase of social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rates not to exceed those prevailing in the state or the cost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could provide those services. The statutory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 for the separate program of aid to dependent children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only to public assistance grants and shall not apply to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social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As part of the provision of social services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68-1202, the department shall provide child care assistance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families with incomes from one hundred and thirty percent up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percent of the federal poverty level, on and after October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A child care provider seeking to participate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subsidy program shall comply with the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check requirements of the Child Care Licensing Act.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determining ongoing eligibility for this program, ten percent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household's gross earned income shall be disregarded after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continuous months on the program and at each subsequent redetermination.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determining ongoing eligibility, the amount of such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shall be based on a cost-shared plan between the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and the state and shall be based on a sliding-scale methodology.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family may be required to contribute a percentage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family's gross income for child care that is no more than the cost-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sharing rates in the transitional child care assistance program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2025, for those no longer eligible for cash assistance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68-1724.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October 1, 2025, a licensed child care program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employs a member of an eligible household shall make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accommodations so that the eligible applicant or adult household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a primary caregiver to such applicant's or adult household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member's child. If reasonable accommodation cannot be made,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allow the applicant or adult household member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assistance for the applicant's or adult household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including when the applicant or adult household member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caregiver for such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Beginning October 1, 2025, a licensed child care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for the child care subsidy may enroll the household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in a child care program other than the household member's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program to receive child care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subdivision (b)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payroll tax of fifty-two-hundredths of one percent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to fund the program with a payment ratio for employer to employee,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respectively, of thirty-nine-hundredths of one percent to thirteen-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hundredths of one percent. General Funds shall not be used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to the state, including administration costs, resulting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eligibility changes made in subdivisions (2)(a) and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for the period beginning October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determining the rate or rates to be paid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child care as defined in section 43-2605, the department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fixed-rate schedule for the state or a fixed-rate schedule for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state applicable to each child care program category of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 71-1910 which may claim reimbursement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federal Child Care Subsidy program,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not pay a rate higher than that charged by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to that provider's private clients. The schedule may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rates for care for infants, for children with special needs,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disabilities or technological dependence, or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categories of children. The schedule shall be effective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October 1 of every year and shall be revised annually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state child care subsidy program shall also provide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highest level of child care assistance to qualified apprentice workers.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this subsection, qualified apprentice means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(a) represented by an organization described in section 501(c)(5)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Internal Revenue Code of 1986, and (b) employed by a redeveloper,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contractor, or subcontractor participating in a registered apprenticeship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program, as defined in 26 U.S.C. 3131(e)(3)(B), if the training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program is located in Nebraska.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