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postconviction relief;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29-3001,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limitations on actions for postconviction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29-3001 (1) A prisoner in custody under sentence and claiming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be released on the ground that there was such a denial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infringement of the rights of the prisoner as to render the judgment 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voidable under the Constitution of this state or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may file a verified motion, in the court which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sentence, stating the grounds relied upon and asking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vacate or set aside the sentence.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Unless the motion and the files and records of the case show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satisfaction of the court that the prisoner is entitled to no relief,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cause notice thereof to be served on the county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 prompt hearing thereon, and determine the issues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of fact and conclusions of law with respect thereto.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finds that there was such a denial or infringement of the rights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prisoner as to render the judgment void or voidable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this state or the Constitution of the United States,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vacate and set aside the judgment and shall discharge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prisoner or resentence the prisoner or grant a new trial as may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appropriate. Proceedings under the provisions of sections 29-3001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29-3004 shall be civil in nature. Costs shall be taxed as in habeas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corpus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court may entertain and determine such motion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the production of the prisoner, whether or not a hearing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held. Testimony of the prisoner or other witnesses may be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deposition. The court need not entertain a second motion or successive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motions for similar relief on behalf of the same prisoner.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one-year period of limitation shall apply to the filing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verified motion for postconviction relief. The one-year limitation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run from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judgment of conviction became final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a direct appeal or the expiration of the time for filing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appeal;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on which the factual predicate of the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or claims alleged could have been discovered through the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due diligence;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date on which an impediment created by state action,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Constitution of the United States or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any law of this state, is removed, if the prisoner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prevented from filing a verified motion by such state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on which a constitutional claim asserted was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Supreme Court of the United States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Court, if the newly recognized right has been made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retroactively to cases on postconviction collateral review;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date on which the Supreme Court of the United States denies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 of certiorari or affirms a conviction appealed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Court. This subdivision only applies if,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petitioning the Supreme Court of the United States for a writ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certiorari, the prisoner files a notice in the district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stating that the prisoner has filed such petition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date on which the prisoner reaches 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29-3001,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