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funds; to amend sections 69-1317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72-2211,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transfer of money from the Unclaimed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Fund; to authorize the transfer of money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Restoration Cash Fund;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69-1317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(a)(1)(i)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all funds received under the Uniform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Act, including the proceeds from the sale of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under section 69-1316, shall be deposited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Unclaimed Property Trust Fund from which he or she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 payment of claims allowed pursuant to the act and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related to unclaimed property. All funds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69-1307.05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regarding such funds allowed pursuant to the act. Transfers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Unclaimed Property Trust Fund to the General Fund may be made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Before making the deposit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the name and last-known address of each person appearing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holders' reports to be entitled to the abandoned property,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of each insured person or annuitant, and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policy or contract listed in the report of a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its number, the name of the corporation, and the amount due.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shall be available for public inspection during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hours. The separate life insurance corporation demutualization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on March 13, 2019, and the State Treasurer shall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on such date to the Unclaimed Property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shall not be subject to public inspection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copying, reproduction, or scrutiny by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locators of property presumed abandoned who 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finders' fee until twenty-four months after the names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holders' reports have been published or officially disclosed.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social security number, date of birth, and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an owner shall be treated as confidential and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confidentiality as tax return information held by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except that the Auditor of Public Accounts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finders' fee shall be limited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dollar amount of the property presumed abandoned. To claim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fee, the finder shall disclose to the owner the nature,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value of the property, provide notice of when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State Treasurer, and provide notice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unclaimed property records of the State Treasurer,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unclaimed property reports of holders, and the information derived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withheld from the general public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of unclaimed property shall only be disclosed to an apparent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or to the escheat, unclaimed, or abandoned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November 1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balance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Unclaimed Property Trust Fund to the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before November 1 of each year beginning in 2025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2034, the State Treasurer shall transfer any balance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from the Unclaimed Property Trust Fund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first one million dollars to the Capitol Restoration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remaining balance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or before November 1 of each year beginning in 2035,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transfer any balance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Unclaimed Property Trust Fund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Capitol Restoration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General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deduct any costs related to unclaimed property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funds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(d)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Unclaimed Property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from the fund to the General Fund may be made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Any money in the Unclaimed Property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72-2211,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72-2211 (1) The Capitol Restoration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administer the fund, which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sale of material, rental revenue, private donations,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donations,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 directed by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Capitol Preservation, Restoration, and Enhancement Endowment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Unclaimed Property Trust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Capital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Capitol Restoration Cash Fund shall be used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for the restoration, preservation, and enhancement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and its courtyards and grounds, to purchase and conserve items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added to the Nebraska Capitol Collections housed in the State Capitol,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produce promotional material concerning the State Capitol,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grounds, and the Nebraska State Capitol Environs District, and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a project manager for the Capitol Heating, Ventilation,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Air Conditioning Systems Replacement Project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is completed,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at the direction of the Legislature. Such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prescribed by the administrator and approved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transferred to the fund from the Capitol Preservation,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Restoration, and Enhancement Endowment Fund shall only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restoration, preservation, and enhancement of the courtyards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Capitol.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Capitol Restoration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69-1317 and 72-2211,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