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465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transportation network companies;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75-305 and 75-328,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annual fees;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use of a personal vehicle as prescribed;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75-305 (1) Every regulated motor carrier subject to sections 75-301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75-322 other than transportation network companies shall pay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not exceeding the sum of eighty dollars for each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operated, which fee shall be fixed by the commission and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actually necessary to sustain the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such sections. When the applicant has registered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motor vehicles under section 60-3,198, such fee shall be payable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shall be the lesser of (a) the proportion of his or her fleet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registered or (b) the number of motor vehicles owned by him or her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used in intrajurisdiction business within this state,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annual fee for any truck-trailer or tractor-trailer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one hundred twenty dollars. In the case of a truck-trailer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tractor-trailer combination, only one license plate shall be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combination.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Every transportation network company shall pay an annual fee.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company may choose to pay either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annual flat fee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twenty-five thousand dollars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annual per-vehicle fee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dollars for each personal vehicle operated by a driver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network company. The commission shall establish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annual 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so that the amount collected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amount actually necessary to sustain the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laws, rules, and regulations governing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companies.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Such annual fees shall be due and payable on or before January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delinquent on March 1 of each year after such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has been issued. If the initial certificate or permit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to a motor carrier on or after July 1, the fee shall be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annual fee. Such fees shall be paid to and collected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and remitted to the State Treasurer within thirty days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receipt. The State Treasurer shall credit fees received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to the Transportation Network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Cash Fund for enforcement of laws, rules,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transportation network companies.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fees received pursuant to subsection (1) of this 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75-328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order to be used under sections 75-323 to 75-343,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vehicle shall be in compliance with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required for a passenger car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60-345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transportation network company or a certified mechanic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 an initial safety inspection on each personal vehicle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approving it for use as a personal vehicle. The inspection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 of at least the following components and such components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in good working order: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Foot brakes;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Parking or emergency brakes;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Steering mechanism;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Windshield;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Rear window and other glass;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Windshield wipers;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Headlights;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Taillights;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Turn indicator lights;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Stop lights;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Front seat adjustment mechanism;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The opening, closing, and locking capability of doors;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 Horn;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 Speedometer;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 Bumpers;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(p) Muffler and exhaust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(q) Tire conditions, including tread depth;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(r) Interior and exterior rear-view mirrors;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(s) Safety belts for driver and passengers.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Annually thereafter, a driver shall obtain such an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approval of the driver's personal vehicle in order to continue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use as a personal vehicle. A driver shall maintain proof of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 transportation network company shall make the initial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 inspection reports available to the commission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75-305 and 75-328,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