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79-405,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powers as a body corporate; to provide powers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to the State Board of Education and school districts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ban and bar actions;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79-405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duly organized school district shall be a body corporate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all the usual powers of a corporation for public purposes,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sue and be sued, and may purchase, hold, and sell such personal and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as the law allows. The county in which the principal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is located together with the school district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pursuant to section 79-307 shall constitute the corporate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school district, such as ........ County School District .......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general authority of a school district to restrict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property and school activities in order to protect students,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staff, and other individuals, shall be subject to the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Ban and bar action means any action by a school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students, family members of students, or other individuals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on school property, attending school activities, or communicating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school officials, subject to enforcement as criminal trespass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28-520 to 28-522 if an individual violates a ban and bar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Board means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School board has the same meaning as in section 79-101;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School district has the same meaning as in section 79-101.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On or before January 1, 2026, the board shall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a model policy relating to a ban and bar action. Such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Specify that a ban and bar action by a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in response to an immediate and significant threat of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student, school official, or other individual or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a court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Specify that any ban and bar action shall be limited in scope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duration in such a manner to accommodate the right of parents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members to be involved in their child's education and, in no 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exceed one calendar year unless otherwise required by court order;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Protect the right of parents to be involved in the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their children and their right to contest, appeal,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challenge a ban and bar action;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Not discriminate or be applied in a discriminatory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any family members on the basis of race, color, religion, sex,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disability, or national origin;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Provide that any individual subject to a ban and bar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given written notice of such action that includes the term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ban and bar action, a description of the conduct giving rise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 and bar action and the evidence the school district has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conduct, and instructions on how to appeal such ban and bar action;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Not be used against a student of the school district.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individual subject to a ban and bar action may request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before the school board. The individual may appear at the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contest the issuance or scope of the ban and bar action. An appeal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requested in writing and delivered to the school board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ten days after receipt of notice by the individual of the ban and bar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action.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counsel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304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expense. The school board shall hear an appeal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 within thirty days after receipt of an appeal request.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On or before July 1, 2026, each public school district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either adopt the model policy or adopt a policy consistent with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79-405,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17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