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Pharmacy Practice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38-28,104,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certain prescription refills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38-28,104,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38-28,104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prescription for a legend drug which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must contain the following information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filled by a pharmacist or a practitioner who holds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subdivision (1) of section 38-2850: Patient's name,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issued for a specific patient, the words "for emergency use" or "for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immunizations"; name of the drug, device, or biological; strength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drug or biological, if applicable; dosage form of the drug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biological; quantity of drug, device, or biological prescribed;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refills; directions for use; date of issuance; prescribing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practitioner's name; and if the prescription is written, prescribing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practitioner's signature. Prescriptions for controlled substances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requirements of sections 28-414 and 28-414.01.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pharmacist receives a request for a prescription refill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no refill authorization and the pharmacist is unable to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 refill authorization from the prescribing practitioner,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may dispense an emergency refill of no more than a thirty-day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supply of the prescription, or the amount dispensed on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refill, whichever is less,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pharmacist obtains prescription information from: (i)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label; (ii) a prescription record located in any pharmacy;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(iii) a common 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prescription refill is not for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prescription refill is for a maintenance medication;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the pharmacist's professional judgment, the interruption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 may produce undesirable consequences or may be detrimental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patient's welfare and cause physical or mental discomfort.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38-28,104,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