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44; Bosn, 25;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criminal history record information;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the National Crime Prevention and Privacy Compact;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powers and duties for the Superintendent of Law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Safety and the Nebraska State Patrol.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to facilitate the authorized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of criminal history record information for noncriminal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purposes, and to implement the National Crime Prevention and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Compact, 34 U.S.C. 40316, the Legislature approves and ratifies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 The Superintendent of Law Enforcement and Public Safety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 the compact on behalf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Nebraska State Patrol is the repository of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for purposes of the compact and shall do all things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or incidental to carrying out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Superintendent of Law Enforcement and Public Safety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superintendent's designee is the state's compact officer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the compact within the state. The Nebraska State Patrol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promulgates rules and regulations and establish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cooperative exchange of criminal history record information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and federal government for use in noncriminal justice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state's ratification of the compact remains in effect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legislation is enacted which specifically renounces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compact does not affect or abridge the obligations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 of the Nebraska State Patrol under state law,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the Security, Privacy, and Dissemination of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Information Act, and does not alter or amend the manner,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otherwise, in which the public is afforded access to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under state law.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