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560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Dungan, 26.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tourism; to amend section 81-3725, Reissue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Nebraska; to change provisions relating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innovative tourism grants;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1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81-3725,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81-3725 (1) The commission shall develop a program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marketing assistance grants to communities and organizations hosting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 or international-caliber events held in Nebraska that have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potential to attract a significant percentage of out-of-state visitors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generate favorable national or international press coverage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community or organization applying for a marketing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 shall provide a plan to the commission that includes: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Documentation that the event will attract out-of-state visitors;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details regarding the type of marketing that would be carried out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funds; (c) methodologies used to track the impact of marketing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efforts and the number of out-of-state visitors attending the event;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details regarding the potential national or international press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coverage that will be generated by the event.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commission shall develop a program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innovative tourism grants to communities or organizations that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tourism and visitor promotion services, host events, or promote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attractions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result in either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increased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nonlocal, instate visitors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increased number of both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nonlocal, instate visitors and out-of-state visitors. Innovative tourism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grants may include, but not be limited to, marketing assistance, planning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assistance, basic support, and regional cooperation. Innovative tourism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grants shall not be used for equipment or capital facility development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When awarding innovative tourism grants under the program,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shall award up to five hundred thousand dollars in innovative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tourism grants to any such city or village each fiscal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executive director shall convene a technical review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of no fewer than three individuals representing the public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sector, the private sector, and citizens at large. The technical review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and the executive director shall review and score applications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marketing assistance grants and innovative tourism grants and forward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recommendations to the commission for approval by the commission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subcommittee of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Communities and organizations receiving marketing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grants or innovative tourism grants authorized under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a final report to the commission within ninety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completion date of the event that includes event attendance, the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funds, and marketing impact information.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commission shall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the grant programs authorized under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81-3725,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79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