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District Property Tax Relief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77-7304 and 77-7305,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fund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 the School District Property Tax Relief Credit Fund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 relief granted;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It is the intent of the Legislature that seven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2025-26.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It is the intent of the Legislature that eight hundred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It is the intent of the Legislature that eight hundred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 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It is the intent of the Legislature that eight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2028-29.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It is the intent of the Legislature that nine hundred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Credit Fund in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2030-31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fiscal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be equal to the total amount transferred in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year increased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fifty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For tax year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dollars.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tax year 2025, the total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act shall be seven hundred eighty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the total amount of relief granted under the act shall be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eight million dollars. For tax year 2027,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relief granted under the act shall be eight hundred thirty-eight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dollars. For tax year 2028, the total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shall be eight hundred seventy million dollars. For tax year 2029,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amount of relief granted under the act shall be nine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million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tax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relief granted under the act shall be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relief from the prior year increased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relief shall be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credits which appear on property tax statements.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granted under the act shall be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treasurer shall disburse amounts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77-7304 and 77-7305,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