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Administrative Procedure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84-901.03, Reissue Revised Statutes of Nebraska;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change requirements for guidance documents;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84-901.03,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84-901.03 (1) Upon the issuance of a guidance document,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such document available at one public location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agency’s website. The agency shall also publish on its website an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summarizing the subject matter of all currently applicable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guidance documents. Such agency shall provide the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by December 31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agency shall ensure that the first page of each guidance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 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notice: This guidance document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in nature but is binding on an agency until amended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 A guidance document does not include internal 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that only affect the internal operations of the agency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impose additional requirements or penalties on regulated parties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confidential information or rules and regulations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 If you believe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guidance document imposes additional requirements or penalties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parties, you may request a review of the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description, including an estimated quantification, of the fiscal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state agencies, political subdivisions, and regulated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may request in writing that an agency revise or repeal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guidance document or convert a guidance document into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regulation. No later than sixty calendar days after the agency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request, the agency shall advise the requestor in writing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(a) revise or repeal the guidance document, (b) initiate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to consider a revision or repeal of a guidance document,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 the rulemaking or regulationmaking process to convert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guidance document into a rule or regulation, or (d) deny the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reason for the denial.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decisions made by an agency under this section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at one public location and on the agency’s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agency shall not issue guidance documents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and before July 1, 2027, unless specifically required by amendments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existing federal rules or to become compliant with new federal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guidance document shall not impose greater regulations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residents or businesses than federal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All guidance documents and provider bulletins issued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2022, and before July 1, 2025, are revoked pending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rulemaking process as provided in the Administrative Procedure Act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explicitly required for federal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84-901.03,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