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Environment and Energy;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remaining funds in the Lead Service Line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hereby reappropriated for FY2025-26 to the Department of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Energy for the purpose of lead service line replacements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 71-5328. Any remaining funds in the Lead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Line Cash Fund not allocated for qualified labor training organizations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hereby reappropriated for FY2025-26 to the Department of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Energy for purposes of providing grants to metropolitan utilities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for lead service line replacements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71-5328.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