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legal notices; to amend section 25-2228,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how legal notices are published;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25-2228 (1) All legal publications and notices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that may by law be required to be published a certain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or a certain number of weeks shall be legally published when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been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one issue in each week in a daily, semiweekly,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triweekly newspaper, such publication in such daily, semiweekly,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triweekly paper or papers to be made upon any one day of the week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paper is published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(b) published on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of a digital news publication for the certain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certain number of weeks required, if a digital news publication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have a print publication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Nothing in this section shall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preventing the publication of such legal notices and publications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weekly newspapers. Any newspaper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digital news publication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legal notices or publications as provided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qualified under existing law to publish such notices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publications. All legal publications and all notices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that may be required by law to be published a certain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or a certain number of weeks, shall be and hereby are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published when they shall have been published once a week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weekly, semiweekly, triweekly, or daily newspaper for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weeks,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for the certain number of days or weeks on a website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covering the period of publication. For the purpose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when a newspaper is published regularly four or more times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week, it shall be deemed a daily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Beginning October 1, 2022, all legal publications and notices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kind or character that may by law be required to be published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number of days or a certain number of weeks shall also be posted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newspaper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digital news publication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publishing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or notices on a statewide website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newspapers.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 posting or a failure to make such website posting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affect the validity of the publication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25-2228,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