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31; Hansen, 16; Ibach, 44; McKeon, 41; Sorrentino,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48-102,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certain defenses;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48-102 In all cases brought under sections 48-101 to 48-108,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 defense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employee was negligent, unless it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that such negligence was willful, or that the employee was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intoxication;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injury was caused by the negligence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fellow employee;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employee had assumed the risks inherent in,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to, or arising from the failure of the employer to provide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safe premises and suitable appliances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grounds of defense are hereby abolished.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