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require dental plan carriers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meet a minimum dental loss ratio and provide a report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Insurance as prescribed; and to provide powers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to the Department of Insurance.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Dental care provider means a dentist who bills for dental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Dental care services means services for the diagnosis,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prevention, treatment, or cure of a dental condition, illness, injury,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disease. Dental care services does not include services delivered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dental care provider that are billed as medical services under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Dental loss ratio means the ratio of incurred claims to 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premiums as calculated using the formula provided in subdivision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Dental plan carrier means an entity subject to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laws, rules, and regulations of this state or subject to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director that contracts, or offers to contract, to provide,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deliver, arrange for, pay for, or reimburse any of the costs of 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services, including a dental insurance company, a prepaid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service organization, or any other entity authorized to offer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plan that provides dental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Department means the Department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Director means the Director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Earned premiums means the portion of the premium paid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year that is intended to provide coverage during that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Incurred claims means the claims for which services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that reporting year. Incurred claims include claims that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in the reporting year and unpaid claims reserves for claims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reporting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Beginning January 1, 2026, a dental plan carrier shall meet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dental loss ratio requirement of eighty-five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Minimum dental loss ratios are calculated by dividing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claims for the dental loss ratio reporting year by the earned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premiums for the dental loss ratio reporting year less any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and regulatory fees for such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Beginning January 1, 2027, a dental plan carrier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 submit to the department the dental loss ratio for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 calculated in accordance with subdivision (2)(b)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The annual filing shall, at a minimum, include rates, 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schedules, and supporting documentation, including the ratio of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to earned premiums for each calendar year since the plan's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issuance. The required information shall be in a form and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department and shall demonstrate that each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complies with the minimum dental loss ratio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minimum dental loss ratio required by subdivision (2)(a)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is not met, the dental plan carrier shall return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 premiums to its insureds.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does not apply to an insurance policy issued, sold,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renewed, or offered for dental care services or coverages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medical assistance program established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