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Perkins County Canal Project;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61-302 and 61-305,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restate intent relating to the Perkins County Canal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Project; to transfer money from the Perkins County Canal Project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Water Sustainability Fund;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61-302 (1) The Legislature finds that it is essential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prosperity, health, and welfare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to the environmental health of the entire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to protect Nebraska's full entitlement to the flows of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as provided for in the South Platte River Compact.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Compact is the law of Nebraska and of the United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authorizes Nebraska to develop a canal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facilities for the diversion of water from the South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beneficial use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declares that a canal and associated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which shall be known as the Perkins County Canal Project,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developed, constructed, managed, and operated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State of Nebraska consistent with the South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and pursuant to the Perkins County Canal Project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61-305 (1) The Perkins County Canal Project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Natural Resources.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to the fund any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such grants, loans, donations,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from any federal or state agency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for use by the department for the canal project.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for water delivery may be credited to the fund.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Perkins County Canal Project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such fund, except that 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2023-24, 2024-25, and 2025-26, such investment earnings shall be credited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84-622.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Treasurer shall transfer five hundred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Perkins County Canal Project Fund to the Water Sustainability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on or before June 30, 2025,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use the Perkins County Canal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Fund to identify the optimal route and purchase land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construct, manage, and operate the Perkins County Canal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by the South Platte River Compact and to contract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firm for the purposes of completing a study of such canal.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study shall include, but may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of completion of a canal and adjoining reservoirs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timeline for completion of a canal and adjoining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cost-effectiveness study examining alternatives,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that may reduce environmental or financial impacts;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impacts of the canal on drinking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Lincoln and Omaha.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findings of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and present the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public hearing held by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31,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61-302 and 61-305,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