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District Property Tax Limitation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79-3403 and 79-3406,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provisions relating to the calculation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authority and the carrying forward of unused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authority;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79-3403 (1) Except as provided in sections 79-3404 and 79-3405,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property tax request for any year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property tax request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calculate each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 on an annual basis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school district's property tax request from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minus the amount, if any, the property tax request exceeded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district's property tax request authority in the prior year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79-3405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added to the non-property-tax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minus any investment income from special building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year, and the total shall be increased by the school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growth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determined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be decreased by the amount of total non-property-tax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current year and adjusted for any known or documented errors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received by the department from the school district.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total non-property-tax revenue for the current year,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 of non-property-tax revenue for which there is insufficient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June 1 to make an accurate determination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prior year's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certify the amount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under this section to the school board of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Such certified amount shall be the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79-3406 A school district may choose not to increase its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by the full amount allowed by the school district's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 in a particular year. In such cases, the school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carry forward to future years the amount of unused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excluding any increases to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resulting from increases of the school district's base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pursuant to section 79-3405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 calculate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district's unused property tax request authority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accounting of such amount to the school board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Such unused property tax request authority may then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years for increases in the school district's property tax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79-3403 and 79-3406,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