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79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1; Bosn, 25; Storer, 43;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provide for dismissal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civil actions involving commercial motor vehicles.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motion of a defendant in a civil action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commercial motor vehicle requiring a commercial driver's license,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trial court shall dismiss from the civil action any claim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defendant's direct negligence if the defendant stipulates that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of the event that caused the damages that are the subject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all of the following are true: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person whose negligence is alleged to have caused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 was the defendant's employee or independent contractor;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person whose negligence is alleged to have caused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 was acting within the course and scope of employment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defendant or acting as an independent contractor of the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defendant makes the stipulations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 with respect to an employee or independent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employee's or independent contractor's negligence is found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caused or contributed to causing the damages, the defendant's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in the civil action shall be adjudged solely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legal doctrine known as respondeat superior.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this section, commercial motor vehicle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meaning as in section 60-316.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