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Cavanaugh, J., 9; Dungan, 26; Fredrickson, 20;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7; Juarez, 5; McKinney, 11; Quick, 35.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environment; to create the Office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Climate Action; to provide duties and deadlines; and to define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There is created within the Department of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 and Energy the Office of Climate Action. The office shall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interested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stakeholders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climate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12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subdivisions, and organizations supporting climate action across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to enhance education and skills, provide technical support,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expand access to resources to support climate action. The office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serve as a point of contact to assist with policies and programs dealing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climate action.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Office of Climate Action shall employ personnel to create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policies that support climate action and fulfill the duties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On or before July 1, 2026, the Office of Climate Action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 a climate action plan that shall propose actions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Manage the risks of climate change impacts on the state;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Reduce the causes of climate change within the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On or before July 1 of each year, the Office of Climate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file with the Clerk of the Legislature an annual report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details: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extent to which state legislation enacted the prior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supports, hinders, or affects climate action;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amount of federal dollars secured for climate action across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Any technical assistance provided by the Office of Climate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to stakeholders, political subdivisions, and organizations;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number of times the Office of Climate Action collaborated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stakeholders, political subdivisions, and organizations;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synopsis of localized climate action plans and programs;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Any recommendation for additional climate action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or activities.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For the purposes of this section, climate action means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effort to combat climate change and its effects.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