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dental plan carriers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meet a minimum dental loss ratio and provide a report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as prescribed; and to provide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the Department of Insurance.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Dental care provider means a dentist who bills for dental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Dental care services means services for the diagnosis,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prevention, treatment, or cure of a dental condition, illness, injury,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disease. Dental care services does not include services delivered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dental care provider that are billed as medical services under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Dental loss ratio means the ratio of incurred claims to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premiums as calculated using the formula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Dental plan carrier means an entity subject to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laws, rules, and regulations of this state or subject to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director that contracts, or offers to contract, to provide,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deliver, arrange for, pay for, or reimburse any of the costs of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services, including a dental insurance company, a prepaid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service organization, or any other entity authorized to offer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plan that provides dental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Department means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Director means the Director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Earned premiums means the portion of the premium paid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year that is intended to provide coverage during that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Incurred claims means the claims for which services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that reporting year. Incurred claims include claims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in the reporting year and unpaid claims reserves for claims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reporting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Beginning January 1, 2026, a dental plan carrier shall meet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dental loss ratio requirement of eighty-five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Minimum dental loss ratios are calculated by dividing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claims for the dental loss ratio reporting year by the earned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premiums for the dental loss ratio reporting year less any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and regulatory fees for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Beginning January 1, 2027, a dental plan carrier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submit to the department the dental loss ratio for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calculated in accordance with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The annual filing shall, at a minimum, include rates,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and supporting documentation, including the ratio of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to earned premiums for each calendar year since the plan's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issuance. The required information shall be in a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 and shall demonstrate that each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complies with the minimum dental loss ratio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minimum dental loss ratio required by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is not met, the dental plan carrier shall return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premiums to its insureds.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an insurance policy issued, sold,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renewed, or offered for dental care services or coverages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medical assistance program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