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60-171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60-173,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salvage branded certificates of title;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and redefine terms;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60-171 For purposes of sections 60-171 to 60-177: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Consumer care has the same meaning as in section 60-1401.10;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Cost of repairs means the estimated or actual retail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needed to repair a vehicle plus the cost of labor computed by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hourly labor rate and time allocations for repair that are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reasonable. Retail cost of parts and labor rates may be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collision estimating manuals or electronic computer estimating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customarily used in the insurance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Flood damaged means damage to a vehicle resulting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submerged in water to the point that rising water has reached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floorboard, has entered the passenger compartment, and has caused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electrical, computerized, or mechanical components. Flood 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does not apply to a vehicle that an inspection,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insurance claim representative or a vehicle repairer, indicates: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no electrical, computerized, or mechanical 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damaged by water;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Had one or more electrical, computerized, 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damaged by water and all such damaged components were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replaced;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Late model vehicle means a vehicle which has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model year designation of, or later than,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vehicle was wrecked, damaged, or destroyed, or any of the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years or (b)(i) in the case of vehicles other than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utility-type vehicles, and minibikes, a retail value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thousand five hundred dollars until January 1, 2010,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value of more than ten thousand five hundred dollars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every five years thereafter or (ii)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vehicles, utility-type vehicles, or minibikes, a retail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more than one thousand seven hundred fifty dollars until January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2010, and a retail value of more than one thousand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increased by two hundred fifty dollars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Manufacturer buyback means the designation of a vehicle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alleged nonconformity when the vehicle (a) has been replaced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(b) has been repurchased by a manufacturer as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court judgment, arbitration, or any voluntary agreement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manufacturer or its agent and a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Previously salvaged or rebuilt each mean the designation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rebuilt vehicle which was previously required to be issued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 and which has been inspected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Retail value means the actual cash value, fair market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retail value of a vehicle as (a) set forth in a current edition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recognized compilation, including automated databases,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values or (b) determined pursuant to a market survey of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with respect to condition and equipment;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Salvage means the designation of a vehicle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late model vehicle which has been wrecked, damaged,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to the extent that the estimated total cost of repair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rebuild or reconstruct the vehicle to its condition immediately before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wrecked, damaged, or destroyed and to restore the vehicle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for legal operation, meets or exceeds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 value of the vehicle at the time it was wrecked, damaged,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destroyed;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Voluntarily designated by the owner of the vehicle as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by obtaining a salvage branded certificate of title,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damage to, age of, or value of the 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Deemed a structurally totaled vehicle by 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performs consumer care and by an insurance company that insured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at the time it sustained the damage that caused it to be deemed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structurally totaled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Structurally totaled vehicle means a vehicle totaled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kink or crease in a frame rail, a unibody, or a structural component,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 engine cradle or a rear differential;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Structurally totaled vehicle does not include a vehicle deemed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loss due to hail or cosmetic damage;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Structurally totaled vehicle does not include a vehicle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to perform repairs does not exceed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cash value of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60-173 (1) When an insurance company acquires a salvage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payment of a total loss settlement on account of damage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a determination that the vehicle is a structurally totaled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company shall obtain the certificate of title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owner, surrender such certificate of title to the county treasurer,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application for a salvage branded certificate of title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assigned when the company transfers ownership. An insurer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to a salvage vehicle for which a total loss settlement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owner of the salvage vehicle elects to retain the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owner elects to retain the salvage vehicle,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notify the department of such fact in a format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department. The department shall immediately enter the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onto the computerized record of the vehicle. Beginning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date designated by the director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60-1508, the insurance company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using the electronic reporting system.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also notify the owner of the owner's responsibility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this section. The owner shall,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of the loss, forward the properly endorsed acceptable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to the county treasurer in the county designated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60-144. Upon receipt of the certificate of title,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issue a salvage branded certificate of title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unless the vehicle has been repaired and inspected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60-146, in which case the county treasurer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salvaged branded certificate of title for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insurance company may apply to the department for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 without obtaining a properly endorsed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from the owner or other evidence of ownership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if it has been at least thirty days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company obtained oral or written acceptance by the owner of an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amount in settlement of a total loss. The insurance company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form prescribed by the department for a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branded certificate of title accompanied by an affidavit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that it has made at least two written attempts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unable to obtain the proper endorsed certificate of title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following an oral or written acceptance by the owner of an offer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in settlement of a total loss and evidence of 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60-171 and 60-173,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