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158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require a health carrier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benefit manager to include amounts paid by a health benefit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enrollee or paid on behalf of an enrollee by another person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calculating the enrollee's overall contribution to any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out-of-pocket maximum or cost-sharing requirement under a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plan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Cost-sharing requirement means any copayment, deductible,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limitation on cost sharing, required by or on behalf of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plan enrollee in order to receive a specific health care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 prescription drug covered by a health plan, whether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medical or pharmacy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Health benefit plan means a policy, contract, certificate,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subscriber agreement entered into, offered, or issued by a health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provide, deliver, arrange for, pay for, or reimburse any of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health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Health carrier has the same meaning as in section 44-1303;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Person means a natural person, corporation, mutual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unincorporated association, partnership, joint venture,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company, trust, estate, foundation, nonprofit corporation, unincorporated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organization, or government or governmental subdivision or 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Pharmacy benefit manager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44-4603.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Except as provided in subdivision (b) of this subsection,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health benefit plan entered into, amended, extended, or renewed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January 1, 2026, a health carrier or pharmacy benefit manager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any amount paid by a health benefit plan enrollee or paid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of an enrollee by another person for purposes of calculating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enrollee's overall contribution to any out-of-pocket maximum or cost-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sharing requirement under a health benefit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requirement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would result in the ineligibility of a health savings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223 of the Internal Revenue Code, such requirement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savings account shall only apply after the enrollee has satisfied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minimum deductible under section 223 of the Internal Revenue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for items or services that are preventive care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223(c)(2)(C) of the Internal Revenue Code, such requirement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regardless of whether the minimum deductible under section 223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Internal Revenue Code has been satisfied.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