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procedure;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29-2260, Reissue Revised Statutes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consideration of an offender's status as a victim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trafficking;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29-2260 (1) Whenever a person is adjudicated to be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governed by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court considers sentence for an offender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a misdemeanor or a felony for which mandatory or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is not specifically required, the court may withhold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of imprisonment unless, having regard to the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of the crime and the history, character, and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offender, the court finds that imprisonment of the offender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protection of the public because: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risk is substantial that during the period of probation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will engage in additional criminal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offender is in need of correctional treatment that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most effectively by commitment to a correctional facility;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lesser sentence will depreciate the seriousness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offender's crime or promote disrespect for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following grounds, while not controlling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shall be accorded weight in favor of withholding sentence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crime neither caused nor threatened serious harm;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offender did not contemplate that his or her crime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or threaten serious harm;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offender acted under strong provocation;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Substantial grounds were present tending to excuse or justify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though failing to establish a defense;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victim of the crime induced or facilitated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offender has compensated or will compensate the victim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crime for the damage or injury the victim sustained;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The offender has no history of prior delinquency or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activity and has led a law-abiding life for a substantial period of 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the commission of the crime;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The crime was the result of circumstances unlikely to recur;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The character and attitudes of the offender indicate that he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she is unlikely to commit another crime;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The offender is likely to respond affirmatively to probationary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Imprisonment of the offender would entail excessive hardship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 or her dependents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abused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physically,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sexually,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3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psychologically by a family or household member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42-903, a sexual partner, or a person who used the offender for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gain;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The offender is a trafficking victim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28-830.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When an offender who has been convicted of a crime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sentenced to imprisonment, the court may sentence him or her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29-2260,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48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