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Broadband Bridge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86-1304, Reissue Revised Statutes of Nebraska;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resolutions of project support from political subdivisions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86-1304 (1)(a) A provider, a cooperative, a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Indian tribe may apply to the commission for a grant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commission. The grant shall only be used for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a qualifying project. The application shall indicate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area. The applicant shall provide matching funds equal to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development costs of the project if located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high-cost area, or twenty-five percent of the total development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if located inside a high-cost area, as such areas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commission. The matching funds requirement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not apply to any portion of a grant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funds. In order to qualify, the project is required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Internet service scalable to one hundred megabits per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downloading and one hundred megabits per second for uploading,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greater. The commission shall establish deadlines for applications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notice of the deadlines on the commission's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application from a political subdivision or an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as part of a public-private partnership with a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the application, the applicant shall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the project within eighteen months after the date the grant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awarded. The commission may permit extensions upon request and for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grant recipient fails to complete the project by the agreed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extended deadline, as the case may be, the recipient shall repay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as provided in this subdivision. If no extension is permitted,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grant shall be repaid for each month that the project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complete after the eighteen-month period, up to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grant. If an extension is permitted, twenty percent of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repaid for each month that the project is not complete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period, up to one hundred percent of the grant.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As part of the application, the applicant shall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broadband network completed as a result of the grant to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as determined by the commission. The grant recipient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speed tests and submit the results to the commission. The speed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for one week using a random sample of locations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 who subscribe to the network completed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broadband network does not provide service at the speeds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subdivision (1)(a) of this section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tests under subdivision (3)(a) of this section, the grant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a reasonable time to address the speed deficiencies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second set of speed tests as described in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If the broadband network does not provide service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speeds required pursuant to subdivision (1)(a) of this section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second set of speed tests, the grant recipient shall repay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As part of the application, the applicant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of project support adopted by each county, city, and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proposed project will be located. The resolution of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shall include, at a minimum,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map of the proposed project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Acknowledgement that the applicant will be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permits;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proposed timeline for the proposed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applicant shall be eligible to receive a grant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uses or provides any communications equipment or service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pose a threat to national security identified on the Covered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pursuant to 47 C.F.R. 1.50002,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and published by the Public Safety and Homeland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the Federal Communications Commission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and Trusted Communications Networks Act of 2019, 47 U.S.C. 1601 et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seq., as such act existed on January 1, 2023, and the rules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 by the Federal Communications Commission on November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 2022, in its Report and Order FCC 22-84.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86-1304,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