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Legislative Performance Audit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50-1208,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duties for the Legislative Performance Audit Committee;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50-1208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committee shall review and approve a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audits of all state agencies on a rotating basis so that each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an agency, is audited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shall, by majority vote, adopt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specific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performance audit. The committee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each requester of any action taken on his or her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the office begins a performance audit,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in writing the agency director, the program director,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relevant, and the Governor that a performance audit will be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notification, the office shall arrange an entrance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to provide the agency with further information about the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 The agency director shall inform the agency staff, in writing,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performance audit and shall instruct agency staff to cooperate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with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entrance conference, the office shall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necessary to draft a scope statement for consideration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The scope statement shall identify the specific issues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 in the audit. The committee shall, by majority vote, adopt,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reject, or amend and adopt the scope statement prepared by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Once the committee has adopted a scope statement,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an audit plan. The audit plan shall include a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research and audit methodologies to be employed and a projected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completion of the office's report. The audit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committee, and a majority vote shall be required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Upon approval of the audit plan, the agency shall be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of the specific scope of the audit and the projected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completion of the office's report. If the office needs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political subdivision or entity thereof to effectively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audit of an agency, the political subdivision or entity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shall provide information, on request, to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performance audit reveals a need to modify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or audit plan, the Legislative Auditor may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make revisions. A majority vote shall be required to revise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scope statement or audit plan. The agency shall be notified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revision to the scope statement or audit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50-1208,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