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notice provisions relating to the division of taxes;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divided, for the applicable period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any redevelopment plan for which more than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in the redevelopment project area has been declared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blighted area in accordance with section 18-2101.02,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divided for a period not to exceed twenty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as identified in the project redevelopment contract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resolution of the authority authorizing the issuance of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effective date of a provision dividing ad valorem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 shall not occur until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city. This subsection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involving a formerly used defense site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August 1, 2006,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notices of the provision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ad valorem taxes shall be sent by the authority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on forms prescribed by the Property Tax Administrator.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shall be sent to the county assessor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August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the effective date of the provision. Failure to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requirement of this section shall result in the taxes,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affected by the failure to give notice of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provision, remaining undivided and being paid into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public body receiving property taxes generated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project. However, the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remaining division of ad valorem taxes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subdivisions (1)(a) and (b) of this section shall be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valuation for the taxable year prior to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to divide the taxes for the remaining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twenty-year or fifteen-year period pursuant to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18-2147,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