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create the Office of Grants;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provide duties.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an Office of Grants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branch of state government. The office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Grants, who shall be appointed by the Governor and serve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pleasure, and such other employees as are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Grants to achieve the purposes of this section and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adequate funding is available. The person appointed to serve as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Grants shall have at least ten years of experience in writing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managing federal grants and shall be selected after conducting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search.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Office of Grants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Identify national grant programs, including grant programs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government, that are available to state agencies,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of this state, and private organizations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Assist state agencies, political subdivisions of this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organizations located in this state in identifying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grant programs, applying for grant funding under such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complying with such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later than July 1, 2026, the Office of Grants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plan for maximizing the amount of grant funding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agencies, political subdivisions of this state,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located in this state under national grant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grant programs of the federal government.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 such statewide plan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later than July 1, 2026, and no later than July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thereafter, the Office of Grants shall electronically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Legislature which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summary of the statewide plan described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analysis of whether any state legislation passed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recently completed legislative session supports, hinders,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affects the ability to receive funding under national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programs, including grant programs of the 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number of state agencies, political subdivisions,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organizations served by the office during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number of national grant awards received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calendar year by state agencies, political subdivisions,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organizations as a result of services provided by the office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dollar amount of such grant awards.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