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20;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highway system;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39-1365.01,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related to the priority of projects and requirements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highway system plan;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39-1365.01,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39-1365.01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be responsible for developing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and long-range state highway system plan.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formulate plans to meet the state highway system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facets of the state and shall assign priorities for such needs.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shall, on or before December 1 of each year, present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and the report required in section 39-1365.02 to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plans shall be referred to the appropriate standing committees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consider the preservation of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highway system asset as its primary priority except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be provided in state or federal law. In establishing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priorities, the department shall consider a variety of factors,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including, but not limited to, current and projected traffic volume,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requirements, economic development needs, current and projected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demographic trends, and enhancement of the quality of life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citizens.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highway system plan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designation of those portions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 which shall be expressways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Account for highway revenue raised by each district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39-1102. Not less than seventy percent of revenue raised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allocated to any project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39-1365.01,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