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postconviction relief;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29-3001,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limitations on actions for postconviction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29-3001 (1) A prisoner in custody under sentence and claiming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be released on the ground that there was such a denial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infringement of the rights of the prisoner as to render the judgment 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voidable under the Constitution of this state or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may file a verified motion, in the court which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sentence, stating the grounds relied upon and asking the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vacate or set aside the sentence.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Unless the motion and the files and records of the case show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satisfaction of the court that the prisoner is entitled to no relief,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cause notice thereof to be served on the county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 prompt hearing thereon, and determine the issues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of fact and conclusions of law with respect thereto.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finds that there was such a denial or infringement of the rights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prisoner as to render the judgment void or voidable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this state or the Constitution of the United States,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vacate and set aside the judgment and shall discharge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prisoner or resentence the prisoner or grant a new trial as may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appropriate. Proceedings under the provisions of sections 29-3001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29-3004 shall be civil in nature. Costs shall be taxed as in habeas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corpus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court may entertain and determine such motion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the production of the prisoner, whether or not a hearing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held. Testimony of the prisoner or other witnesses may be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deposition. The court need not entertain a second motion or successive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motions for similar relief on behalf of the same prisoner.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one-year period of limitation shall apply to the filing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verified motion for postconviction relief. The one-year limitation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run from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judgment of conviction became final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a direct appeal or the expiration of the time for filing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appeal;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on which the factual predicate of the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or claims alleged could have been discovered through the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due diligence;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date on which an impediment created by state action,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Constitution of the United States or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any law of this state, is removed, if the prisoner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prevented from filing a verified motion by such state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on which a constitutional claim asserted was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the Supreme Court of the United States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Court, if the newly recognized right has been made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retroactively to cases on postconviction collateral review;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date on which the Supreme Court of the United States denies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 of certiorari or affirms a conviction appealed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Court. This subdivision only applies if,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petitioning the Supreme Court of the United States for a writ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certiorari, the prisoner files a notice in the district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stating that the prisoner has filed such petition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date on which the prisoner reaches twenty-one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29-3001,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