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79-405,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powers as a body corporate; to provide powers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to the State Board of Education and school districts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ban and bar actions;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79-405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duly organized school district shall be a body corporate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all the usual powers of a corporation for public purposes,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sue and be sued, and may purchase, hold, and sell such personal and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as the law allows. The county in which the principal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is located together with the school district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pursuant to section 79-307 shall constitute the corporate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school district, such as ........ County School District .......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general authority of a school district to restrict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property and school activities in order to protect students,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staff, and other individuals, shall be subject to the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Ban and bar action means any action by a school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students, family members of students, or other individuals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on school property, attending school activities, or communicating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school officials, subject to enforcement as criminal trespass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28-520 to 28-522 if an individual violates a ban and bar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Board means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School board has the same meaning as in section 79-101;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School district has the same meaning as in section 79-101.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On or before January 1, 2026, the board shall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a model policy relating to a ban and bar action. Such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Specify that a ban and bar action by a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in response to an immediate and significant threat of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student, school official, or other individual or to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a court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Specify that any ban and bar action shall be limited in scope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duration in such a manner to accommodate the right of parents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members to be involved in their child's education and, in no event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exceed one calendar year unless otherwise required by court order;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Protect the right of parents to be involved in the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their children and their right to contest, appeal,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challenge a ban and bar action;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Not discriminate or be applied in a discriminatory manner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any family members on the basis of race, color, religion, sex,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disability, or national origin;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Provide that any individual subject to a ban and bar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given written notice of such action that includes the term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ban and bar action, a description of the conduct giving rise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 and bar action and the evidence the school district has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conduct, and instructions on how to appeal such ban and bar action;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Not be used against a student of the school district.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individual subject to a ban and bar action may request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hearing before the school board. The individual may appear at the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contest the issuance or scope of the ban and bar action. An appeal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requested in writing and delivered to the school board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ten days after receipt of notice by the individual of the ban and bar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counsel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304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expense. The school board shall hear an appeal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 within thirty days after receipt of an appeal request.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On or before July 1, 2026, each public school district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either adopt the model policy or adopt a policy consistent with the model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79-405,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17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