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44; Bosn, 25;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criminal history record information;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the National Crime Prevention and Privacy Compact;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powers and duties for the Superintendent of Law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Public Safety and the Nebraska State Patrol.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order to facilitate the authorized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 of criminal history record information for noncriminal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purposes, and to implement the National Crime Prevention and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Compact, 34 U.S.C. 40316, the Legislature approves and ratifies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 The Superintendent of Law Enforcement and Public Safety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execute the compact on behalf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Nebraska State Patrol is the repository of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information for purposes of the compact and shall do all things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or incidental to carrying out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Superintendent of Law Enforcement and Public Safety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superintendent's designee is the state's compact officer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 the compact within the state. The Nebraska State Patrol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and promulgates rules and regulations and establish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cooperative exchange of criminal history record information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and federal government for use in noncriminal justice cases.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state's ratification of the compact remains in effect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legislation is enacted which specifically renounces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This compact does not affect or abridge the obligations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responsibilities of the Nebraska State Patrol under state law,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limited to, the Security, Privacy, and Dissemination of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History Information Act, and does not alter or amend the manner,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otherwise, in which the public is afforded access to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information under state law.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