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LB527A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LB527A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527A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Jacobson, 42.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March 11, 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to aid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carrying out the provisions of Legislative Bill 527, One Hundred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Ninth Legislature, First Session, 2025;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LB527A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LB527A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$5,765,385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Medicaid Access and Quality Fund and $12,279,638 from federal funds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FY2025-26 and (2) $11,758,984 from the Medicaid Access and Quality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$25,045,347 from federal funds for FY2026-27 to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and Human Services, for Program 344, to aid in carrying 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provisions of Legislative Bill 527, One Hundred Ninth Legislature,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Session,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$5,765,385 Cash Funds and $12,279,638 federal funds for state aid,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only be used for such purpose. There is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appropriation to this program for FY2026-27 $11,758,984 Cash Funds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$25,045,347 federal funds for state aid, which shall only be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expenditures for permanent and temporary salaries and per diems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state employees shall be made from funds appropriated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$57,392,193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Medicaid Access and Quality Fund and $105,013,007 from federal funds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FY2025-26 and (2) $117,056,172 from the Medicaid Access and Quality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$214,182,801 from federal funds for FY2026-27 to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and Human Services, for Program 348, to aid in carrying 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provisions of Legislative Bill 527, One Hundred Ninth Legislature,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Session,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$57,392,193 Cash Funds and $105,013,007 federal funds for state aid,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shall only be used for such purpose. There is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appropriation to this program for FY2026-27 $117,056,172 Cash Funds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$214,182,801 federal funds for state aid, which shall only be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expenditures for permanent and temporary salaries and per diems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state employees shall be made from funds appropriated in this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LB527A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LB527A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128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