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legal notices; to amend section 25-2228,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how legal notices are published;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25-2228,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25-2228 (1) All legal publications and notices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that may by law be required to be published a certain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or a certain number of weeks shall be legally published when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been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one issue in each week in a daily, semiweekly,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triweekly newspaper, such publication in such daily, semiweekly,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triweekly paper or papers to be made upon any one day of the week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paper is published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(b) published on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a digital news publication for the certain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certain number of weeks required, if a digital news publication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have a print publication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Nothing in this section shall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preventing the publication of such legal notices and publications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weekly newspapers. Any newspaper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digital news publication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legal notices or publications as provided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qualified under existing law to publish such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publications. All legal publications and all notices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that may be required by law to be published a certain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or a certain number of weeks, shall be and hereby are declared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published when they shall have been published once a week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weekly, semiweekly, triweekly, or daily newspaper for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 the certain number of days or weeks on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covering the period of publication. For the purpose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when a newspaper is published regularly four or more times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week, it shall be deemed a daily newspaper.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Beginning October 1, 2022, all legal publications and notices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kind or character that may by law be required to be published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number of days or a certain number of weeks shall also be posted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newspaper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digital news publication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publishing such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 or notices on a statewide website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repository for such notices by a majority of Nebraska newspapers.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posting or a failure to make such website posting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affect the validity of the publication or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under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25-2228,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