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Storm, 23; DeKay, 40;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initiative and referendum measures;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32-1405 and 32-1412,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provide duties;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suits brought regarding initiative and referendum petitions;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32-1405 (1) Prior to obtaining any signatures on an initiative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referendum petition, a statement of the object of the petition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text of the measure shall be filed with the Secretary of State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sworn statement containing the names and street addresses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corporation, or association sponsoring the petition. Sponsors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may be added or removed with the unanimous written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original sponsor or sponsors at any time prior to or on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is filed for verification with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the filing,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 the text of the proposed measure to the Revisor of Statutes.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Revisor of Statutes shall review the proposed measure and suggest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form and draftsmanship. The revisor shall complete the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business days after receipt from the Secretary of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shall provide the results of the review and suggested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 sponsor but shall otherwise keep the proposed measure,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and the sworn statement confidential for five days after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review by the sponsor. The Secretary of State shall then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measure, the opinion, and the sworn statement as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as a part of the official record of the initiative.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 may make any changes recommended by the Revisor of Statutes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final language to the Secretary of State. If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is addressing a subject that is substantially different in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substance from the initial filing or the changes recommended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Revisor of Statutes, the Secretary of State shall reject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 shall prepare the form of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final language filed by the sponsor and shall provide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 of the petition to the sponsor within five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the final language of the proposed measure. The sponsor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 the petitions to be circulated from the forms provided. Prior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circulation, the sponsor shall file a sample copy of the petition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circulated with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the sample copy of the petition,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State shall post on the Secretary of State's website the text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 and notice that the measure is in circulation. The text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remain posted until the deadline for filing 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32-1412,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32-1412 (1) If the Secretary of State refuses to place on the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measure proposed by an initiative petition presented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presented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four months preceding the date of the election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proposed law or constitutional amendment is to be voted upon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referendum petition presented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which may be presented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Legislature enacting the law to which the petition applies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adjourns sine die or for a period longer than ninety days, any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apply, within ten days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announcement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refusal,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court of Lancaster County for a writ of mandamus.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State's refusal to place the measure on the ballot is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legal insufficiency other than an insufficiency of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Article III, section 2, of the Constitution of Nebraska,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 shall announce his or her refusal on the same 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posting the notice of circulation pursuant to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32-1405 and shall state the reason for his or her refusal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announcement. The Secretary of State's failure to state the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refusal in the announcement shall be considered a waiver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those defenses.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it is decided by the court that such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legally sufficient, the Secretary of State shall order the issue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ballot at the next general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 showing that an initiative or referendum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legally sufficient, the court, on the application of any resident,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enjoin the Secretary of State and all other officers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certifying or printing on the official ballot for the next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the ballot title and number of such measure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(ii) declare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 legally removed from the ballot if preventing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printing of the measure on the ballot is no longer practicable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 is filed against the Secretary of State seeking to enjoin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placing the measure on the official ballot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to have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declare the measure legally removed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person who is the sponsor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petition shall be a necessary party defendant in such suit.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suit brought pursuant to this subsection asserting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insufficiency of an initiative or referendum petition, other than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insufficiency of signatures pursuant to Article III, section 2,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Nebraska, shall be commenced within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 posts the notice of circulation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 section 32-1405 unless the sixtieth day falls after the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filing petitions. If the sixtieth day falls after the deadline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petitions, then the suit shall be commenced by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on the last day for filing 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Such suits shall be advanced on the trial docket and heard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decided by the court as quickly as possible. Either party may appeal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of Appeals within ten days after a decision is rendered.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procedures described in the Administrative Procedure 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district court of Lancaster County shall have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all litigation arising under sections 32-1401 to 32-1416.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However,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suit brought pursuant to this section does not assert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insufficiency of signatures, then the Supreme Court shall hear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its original jurisdiction under section 24-204 if practicable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upon petition of any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official asserting a defense to an action brought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(1) of this section, or any resident asserting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insufficiency of an initiative or referendum petition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may raise the substantive facial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insufficiency of the measure in question. Such an insufficiency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sole basis for the claim or defense. No claim shall be dismissed,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official prevented from raising a defense, for lack of ripeness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claimed substantive facial insufficiency.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shall be construed as applying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limiting suits not brought pursuant to this section and brought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enactment of a measure.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32-1405 and 32-1412,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