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77-2007.03 and 77-2010,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inheritance tax exemption relating to victims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homicide; to change provisions relating to when certain inheritance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due;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77-2007.03,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77-2007.03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transferred to either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States, or any of its departments, instrumentalities, or agencies,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this state, or any governmental subdivision, department, agency,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instrumentality thereof, any municipal corporation or body politic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 by or under the laws of Nebraska, or any agency, institution,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foundation, or fund administered or operated by any of the same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exempt from any inheritance tax imposed by sections 77-2001 to 77-2006,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any amendments thereto.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If a decedent was the victim of a homicide or is a potential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victim of a homicide, then any interested party may file an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inheritance tax exemption described in subdivision (2)(b)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with the Department of Revenue on a form prescribed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the decedent is determined to be the victim of a homicide,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then any interest in property passing from such decedent shall be exempt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any inheritance tax imposed by sections 77-2001 to 77-2006,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amendments thereto.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decedent shall be conclusively presumed to be the victim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homicide if the person causing the decedent's death is convicted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28-303, 28-304, 28-305, or 28-306. In the absence of such a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conviction,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having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jurisdiction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34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preponderance of the evidence whether the decedent was the victim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homicide.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For purposes of this subsection, homicide has the same meaning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in section 28-302.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This subsection applies to decedents dying on or after June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77-2010,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77-2010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sections 77-2001 to 77-2037, unless otherwise herein provided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due and payable twelve months after the date of the death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decedent, and interest at the rate specified in section 45-104.01,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rate may from time to time be adjusted by the Legislature,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and collected on any unpaid taxes due from the date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became payable, and in all cases in which the personal representatives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do not pay such tax within twelve months from the death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decedent, they shall be required to give bond in the form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prescribed in section 77-2009 for the payment of the tax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interest. In addition, for failure to file an appropriate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determination of the tax within twelve months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death of the decedent there shall be added to the amount due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of five percent per month or fraction thereof, up to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of twenty-five percent of the unpaid taxes due. The filing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or an application for probate proceedings or the filing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under section 77-2018.07 and payment of the tentative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within twelve months of the decedent's death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appropriate proceeding for the determination to avoid a penalty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stop the accrual of a penalty. In addition, the county court may abate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penalty if good cause is shown for failure to file.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 application for an inheritance tax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77-2007.03 is filed with the Department of Revenue within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of the death of the decedent then any inheritance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by sections 77-2001 to 77-2006, and any amendments thereto,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due and payable twelve months after the determination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decedent is not the victim of a homicide, and interest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section 45-104.01, as such rate may from time to time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by the Legislature, shall be charged and collected on any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due from the date the same became payable, and in all cases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personal representatives or trustees do not pay such tax within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months after the determination that the decedent is not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homicide, they shall be required to give bond in the form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prescribed in section 77-2009 for the payment of the tax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interest. In addition, for failure to file an appropriate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determination of the tax within twelve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that the decedent is not the victim of a homicide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added to the amount due a penalty of five percent per month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fraction thereof, up to a maximum penalty of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unpaid taxes due. The filing of a petition or an application for probate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 or the filing of an application under section 77-2018.07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the tentative tax payment within twelve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that the decedent is not the victim of a homicide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an appropriate proceeding for the determination to avoid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and to stop the accrual of a penalty. In addition,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may abate this penalty if good cause is shown for failure to file.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77-2007.03 and 77-2010,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