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Political Accountability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Act; to amend section 49-1446.02,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provisions relating to prohibited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by committees;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49-1446.02,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49-1446.02 Notwithstanding any other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Accountability and Disclosure Act, no committee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expend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purchase or payment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Clothes or medical or dental expenses of a candidate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his or her immediate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Installment payments for an automobile owned by a candidate;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Mortgage or rental payments for a permanent residence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satisfaction of personal debts, including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on personal loans, except campaign loans subject to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(2) of section 49-1456;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Personal services, including the services of a lawyer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accountant, except campaign services subject to reporting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of section 49-1455;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Office supplies, staff, or furnishings for the public office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an individual is a candidate for nomination or election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out in subsection (2) of section 49-1446.01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 the case of a ballot question committee,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influencing or attempting to influence the action of voters in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or in opposition to the nomination or election of a candidate;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In the case of a candidate committee, goods, materials,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or facilities on behalf of a ballot question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for the purpose of receiving a lower rate on advertisements,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broadcast of advertisements which were produced by the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 committee but paid for by the candidate committee.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shall not prohibit a candidate or candidate committee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expressing a position or opinion in support of or in opposition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question or initiative or referendum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49-1446.02,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