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behavioral health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Supplement, 2025; to allow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Behavioral Health Services Fund for individuals with substance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disorder as prescribed; to define a term;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71-812 (1) The Behavioral Health Services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division and shall contain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or otherwise received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behavioral health services from any other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 and directed by the Legislature for credit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Behavioral Health Services Fund shall be used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facilitate the statewide development and provision of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services, including, but not limited to,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grants, loans, and other assistance for such purpose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providers of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Money transferred to the fund under section 76-903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housing-related assistance for very low-income adults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or substance abuse disorder,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determines that all housing-related assistance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have been fully satisfied, the division may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excess, up to twenty percent of such money, to regional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authorities for acquisition or rehabilitation of housing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division shall manage and distribute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based upon a formula established by the division,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regional behavioral health authorities and the department,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and reasonably calculated to promote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public behavioral health system enumerated in section 71-803.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contract with each regional behavioral health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such assistance. Each regional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contract with qualifying public, private,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for the provision of such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Adult with serious mental illness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or older who has, or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twelve months has had, a diagnosable mental,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behavioral, or emotional disorder of sufficient duration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criteria identified in the most recent edition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and Statistical Manual of Mental Disorders and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functional impairment that substantially interferes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or more major life functions. Serious mental illness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diagnosis 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DSM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v-code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 codes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abuse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exist concurrently with a diagnosable serious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Housing-related assistance includes rental payments,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security and utility deposits, landlord risk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and other related costs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Landlord risk mitigation payment means a payment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who leases or rents property to a very low-income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substance use disorder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may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excessive damage to the rental property, any lost rent,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incurred by the landlord in excess of the security deposit,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expenses incurred by the landlord as a result of leasing or renting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property to such individual;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Substance use disorder has the same meaning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71-430;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Very low-income means a household income of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 of the applicable median family income estimate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Housing and Urban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71-812,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